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Urban Life During the Industrial Revolution (Part 1)</w:t>
      </w:r>
      <w:bookmarkEnd w:id="1"/>
    </w:p>
    <w:p>
      <w:pPr>
        <w:spacing w:after="0"/>
      </w:pPr>
      <w:r>
        <w:rPr>
          <w:rStyle w:val="bold"/>
        </w:rPr>
        <w:t xml:space="preserve">Author: </w:t>
      </w:r>
      <w:r>
        <w:rPr/>
        <w:t xml:space="preserve">Chris Lewis</w:t>
      </w:r>
    </w:p>
    <w:p>
      <w:pPr>
        <w:spacing w:after="0"/>
      </w:pPr>
      <w:r>
        <w:rPr>
          <w:rStyle w:val="bold"/>
        </w:rPr>
        <w:t xml:space="preserve">Last Revised: </w:t>
      </w:r>
      <w:r>
        <w:rPr/>
        <w:t xml:space="preserve">September 22, 2023</w:t>
      </w:r>
    </w:p>
    <w:p>
      <w:pPr>
        <w:spacing w:after="0"/>
      </w:pPr>
      <w:r>
        <w:rPr>
          <w:rStyle w:val="bold"/>
        </w:rPr>
        <w:t xml:space="preserve">Exported: </w:t>
      </w:r>
      <w:r>
        <w:rPr/>
        <w:t xml:space="preserve">February 29, 2024</w:t>
      </w:r>
    </w:p>
    <w:p>
      <w:pPr>
        <w:spacing w:after="0"/>
      </w:pPr>
      <w:r>
        <w:rPr>
          <w:rStyle w:val="bold"/>
        </w:rPr>
        <w:t xml:space="preserve">Lesson Length: </w:t>
      </w:r>
      <w:r>
        <w:rPr/>
        <w:t xml:space="preserve">60 Minutes</w:t>
      </w:r>
    </w:p>
    <w:p>
      <w:pPr>
        <w:spacing w:after="0"/>
      </w:pPr>
      <w:r>
        <w:rPr>
          <w:rStyle w:val="bold"/>
        </w:rPr>
        <w:t xml:space="preserve">Subjects: </w:t>
      </w:r>
      <w:r>
        <w:rPr/>
        <w:t xml:space="preserve">History-Social Science; World History</w:t>
      </w:r>
    </w:p>
    <w:p>
      <w:pPr>
        <w:spacing w:after="0"/>
      </w:pPr>
      <w:r>
        <w:rPr>
          <w:rStyle w:val="bold"/>
        </w:rPr>
        <w:t xml:space="preserve">Grades: </w:t>
      </w:r>
      <w:r>
        <w:rPr/>
        <w:t xml:space="preserve">Grade 10</w:t>
      </w:r>
    </w:p>
    <w:p>
      <w:pPr>
        <w:spacing w:before="0" w:after="0"/>
        <w:pBdr>
          <w:bottom w:val="single" w:sz="4"/>
        </w:pBdr>
      </w:pPr>
      <w:r>
        <w:rPr>
          <w:sz w:val="2"/>
          <w:szCs w:val="2"/>
        </w:rPr>
        <w:t xml:space="preserve"/>
      </w:r>
    </w:p>
    <w:p>
      <w:pPr>
        <w:pStyle w:val="Heading2"/>
      </w:pPr>
      <w:bookmarkStart w:id="2" w:name="_Toc2"/>
      <w:r>
        <w:t>Lesson Overview</w:t>
      </w:r>
      <w:bookmarkEnd w:id="2"/>
    </w:p>
    <w:p>
      <w:pPr/>
      <w:r>
        <w:rPr/>
        <w:t xml:space="preserve">This lesson was designed for a 10th grade World History class in Los Angeles County with 7 bridging EL students. In this first of a two-part lesson students will analyze primary sources (visuals and text) to describe how life changed for people living in urban areas during the Industrial Revolution. Students will engage in paired discussions, use graphic organizers, and text annotations strategies. The teacher will model interpretive skills through a think-aloud during a close-reading of a primary source. The lesson includes visuals for students to analyze and see the changes happening during the Industrial Revolution, which are aligned with concepts from the text. Students will co-construct a summary of the reading to describe living conditions in urban cities.</w:t>
      </w:r>
    </w:p>
    <w:p>
      <w:pPr>
        <w:spacing w:before="0" w:after="0"/>
        <w:pBdr>
          <w:bottom w:val="single" w:sz="4"/>
        </w:pBdr>
      </w:pPr>
      <w:r>
        <w:rPr>
          <w:sz w:val="2"/>
          <w:szCs w:val="2"/>
        </w:rPr>
        <w:t xml:space="preserve"/>
      </w:r>
    </w:p>
    <w:p>
      <w:pPr>
        <w:pStyle w:val="Heading2"/>
      </w:pPr>
      <w:bookmarkStart w:id="3" w:name="_Toc3"/>
      <w:r>
        <w:t>Objectives</w:t>
      </w:r>
      <w:bookmarkEnd w:id="3"/>
    </w:p>
    <w:p>
      <w:pPr>
        <w:spacing w:after="0"/>
        <w:numPr>
          <w:ilvl w:val="0"/>
          <w:numId w:val="9"/>
        </w:numPr>
      </w:pPr>
      <w:r>
        <w:t xml:space="preserve">Content Goal: Students will describe how the shift from rural to urban areas affected life in cities during the Industrial Revolution.</w:t>
      </w:r>
    </w:p>
    <w:p>
      <w:pPr>
        <w:spacing w:after="0"/>
        <w:numPr>
          <w:ilvl w:val="0"/>
          <w:numId w:val="9"/>
        </w:numPr>
      </w:pPr>
      <w:r>
        <w:t xml:space="preserve">Language Goal:  Students will be able to describe how industrialization affected living conditions in urban areas using the language of causation by completing a close-read of a text and writing a summary statement.</w:t>
      </w:r>
    </w:p>
    <w:p>
      <w:pPr>
        <w:spacing w:before="0" w:after="0"/>
        <w:pBdr>
          <w:bottom w:val="single" w:sz="4"/>
        </w:pBdr>
      </w:pPr>
      <w:r>
        <w:rPr>
          <w:sz w:val="2"/>
          <w:szCs w:val="2"/>
        </w:rPr>
        <w:t xml:space="preserve"/>
      </w:r>
    </w:p>
    <w:p>
      <w:pPr>
        <w:pStyle w:val="Heading2"/>
      </w:pPr>
      <w:bookmarkStart w:id="4" w:name="_Toc4"/>
      <w:r>
        <w:t>Activities in this Lesson</w:t>
      </w:r>
      <w:bookmarkEnd w:id="4"/>
    </w:p>
    <w:p>
      <w:pPr>
        <w:pStyle w:val="Heading3"/>
      </w:pPr>
      <w:bookmarkStart w:id="5" w:name="_Toc5"/>
      <w:r>
        <w:t>Analyzing Two Paintings (10 minutes)</w:t>
      </w:r>
      <w:bookmarkEnd w:id="5"/>
    </w:p>
    <w:p>
      <w:pPr/>
      <w:r>
        <w:rPr>
          <w:rStyle w:val="bold"/>
        </w:rPr>
        <w:t xml:space="preserve">Type: </w:t>
      </w:r>
      <w:r>
        <w:rPr/>
        <w:t xml:space="preserve">Hooks / Set</w:t>
      </w:r>
    </w:p>
    <w:tbl>
      <w:tblGrid>
        <w:gridCol/>
      </w:tblGrid>
      <w:tblPr>
        <w:tblW w:w="0" w:type="auto"/>
        <w:tblLayout w:type="autofit"/>
        <w:bidiVisual w:val="0"/>
        <w:tblBorders>
          <w:top w:val="single" w:sz="4" w:color="999999"/>
          <w:left w:val="single" w:sz="4" w:color="999999"/>
          <w:right w:val="single" w:sz="4" w:color="999999"/>
          <w:bottom w:val="single" w:sz="4" w:color="999999"/>
          <w:insideH w:val="single" w:sz="4" w:color="999999"/>
          <w:insideV w:val="single" w:sz="4" w:color="999999"/>
        </w:tblBorders>
      </w:tblPr>
      <w:tr>
        <w:trPr/>
        <w:tc>
          <w:tcPr/>
          <w:p>
            <w:pPr>
              <w:spacing w:before="160"/>
            </w:pPr>
            <w:r>
              <w:rPr>
                <w:rStyle w:val="bold"/>
              </w:rPr>
              <w:t xml:space="preserve">Teacher Notes</w:t>
            </w:r>
          </w:p>
          <w:p>
            <w:pPr/>
            <w:r>
              <w:rPr/>
              <w:t xml:space="preserve">Prior to this lesson, students would have learned some of the causes of industrialization (access to raw materials, improvements in transportation through ships and railroads, and new inventions). These concepts will be reviewed in the first task where students will be asked to compare two paintings (</w:t>
            </w:r>
            <w:hyperlink r:id="rId7" w:history="1">
              <w:r>
                <w:rPr/>
                <w:t xml:space="preserve">slide 1</w:t>
              </w:r>
            </w:hyperlink>
            <w:r>
              <w:rPr/>
              <w:t xml:space="preserve">). One painting depicts Manchester, England before (1820) and during (1852) the Industrial Revolution. The goal is for students to see how the city landscape changed with the addition of buildings and factories. They may also note the smokestack and how the sky color changed due to pollution.</w:t>
            </w:r>
          </w:p>
          <w:p>
            <w:pPr/>
          </w:p>
          <w:p>
            <w:pPr/>
            <w:r>
              <w:rPr/>
              <w:t xml:space="preserve">Students will need access to the two paintings (projected or printed) and the graphic organizers for the individual portion. Once the image are shared, students will complete three tasks:</w:t>
            </w:r>
          </w:p>
          <w:p>
            <w:pPr>
              <w:spacing w:after="0"/>
              <w:numPr>
                <w:ilvl w:val="0"/>
                <w:numId w:val="10"/>
              </w:numPr>
            </w:pPr>
            <w:r>
              <w:rPr/>
              <w:t xml:space="preserve">SEE: List at least three things you see in each image.</w:t>
            </w:r>
          </w:p>
          <w:p>
            <w:pPr>
              <w:spacing w:after="0"/>
              <w:numPr>
                <w:ilvl w:val="0"/>
                <w:numId w:val="10"/>
              </w:numPr>
            </w:pPr>
            <w:r>
              <w:rPr/>
              <w:t xml:space="preserve">THINK: Write two causes for this change between 1820 and 1852.</w:t>
            </w:r>
          </w:p>
          <w:p>
            <w:pPr>
              <w:spacing w:after="0"/>
              <w:numPr>
                <w:ilvl w:val="0"/>
                <w:numId w:val="10"/>
              </w:numPr>
            </w:pPr>
            <w:r>
              <w:rPr/>
              <w:t xml:space="preserve">WONDER: Write at least one question about the images.</w:t>
            </w:r>
          </w:p>
          <w:p>
            <w:pPr/>
          </w:p>
          <w:p>
            <w:pPr/>
            <w:r>
              <w:rPr/>
              <w:t xml:space="preserve">When students have completed the individual analysis, they will participate in a paired discussion about their findings. Questions, sentence frames, and a word bank are provided (</w:t>
            </w:r>
            <w:hyperlink r:id="rId7" w:history="1">
              <w:r>
                <w:rPr/>
                <w:t xml:space="preserve">slide 2</w:t>
              </w:r>
            </w:hyperlink>
            <w:r>
              <w:rPr/>
              <w:t xml:space="preserve">). Remind students to focus on listening to their partners ideas and how to respectfully agree and disagree. As students are talking, walk around the room to listen for ways students describe the difference between the two images. They can focus on color, the use of space, or the difference between farmland and cities.</w:t>
            </w:r>
          </w:p>
          <w:p>
            <w:pPr/>
          </w:p>
          <w:p>
            <w:pPr/>
            <w:r>
              <w:rPr/>
              <w:t xml:space="preserve">Once students have finished the discussion, ask a few pairs to share the question(s) they had about the images. These may provide some guidance during the next part of the lesson regarding concepts they did not remember or understanding. Collect the questions on poster paper for future reference.</w:t>
            </w:r>
          </w:p>
          <w:tbl>
            <w:tblGrid>
              <w:gridCol/>
              <w:gridCol/>
              <w:gridCol/>
            </w:tblGrid>
            <w:tblPr>
              <w:tblW w:w="0" w:type="auto"/>
              <w:tblLayout w:type="autofit"/>
              <w:bidiVisual w:val="0"/>
            </w:tblPr>
            <w:tr>
              <w:trPr/>
              <w:tc>
                <w:tcPr/>
                <w:p>
                  <w:pPr/>
                  <w:r>
                    <w:rPr/>
                    <w:t xml:space="preserve">Questions:</w:t>
                  </w:r>
                  <w:br/>
                </w:p>
              </w:tc>
              <w:tc>
                <w:tcPr/>
                <w:p>
                  <w:pPr/>
                  <w:r>
                    <w:rPr/>
                    <w:t xml:space="preserve">Sentence Frames:</w:t>
                  </w:r>
                  <w:br/>
                </w:p>
              </w:tc>
              <w:tc>
                <w:tcPr/>
                <w:p>
                  <w:pPr/>
                  <w:r>
                    <w:rPr/>
                    <w:t xml:space="preserve">Word Bank</w:t>
                  </w:r>
                  <w:br/>
                </w:p>
              </w:tc>
            </w:tr>
            <w:tr>
              <w:trPr/>
              <w:tc>
                <w:tcPr/>
                <w:p>
                  <w:pPr/>
                  <w:r>
                    <w:rPr/>
                    <w:t xml:space="preserve">How would life be different for someone who lived in both time periods?</w:t>
                  </w:r>
                  <w:br/>
                  <w:r>
                    <w:rPr/>
                    <w:t xml:space="preserve">How did the environment change?</w:t>
                  </w:r>
                  <w:br/>
                  <w:r>
                    <w:rPr/>
                    <w:t xml:space="preserve">What was one positive change people would have experienced in 1852?</w:t>
                  </w:r>
                  <w:br/>
                  <w:r>
                    <w:rPr/>
                    <w:t xml:space="preserve">What is one negative change people would have experienced in 1852?</w:t>
                  </w:r>
                  <w:br/>
                  <w:br/>
                </w:p>
              </w:tc>
              <w:tc>
                <w:tcPr/>
                <w:p>
                  <w:pPr/>
                  <w:r>
                    <w:rPr/>
                    <w:t xml:space="preserve">One difference between the two paintings is _____.</w:t>
                  </w:r>
                  <w:br/>
                  <w:r>
                    <w:rPr/>
                    <w:t xml:space="preserve">One difference between the environments is _____.</w:t>
                  </w:r>
                  <w:br/>
                  <w:r>
                    <w:rPr/>
                    <w:t xml:space="preserve">One positive change in 1852 is _____.</w:t>
                  </w:r>
                  <w:br/>
                  <w:r>
                    <w:rPr/>
                    <w:t xml:space="preserve">One negative change in 1852 is _____.</w:t>
                  </w:r>
                  <w:br/>
                </w:p>
              </w:tc>
              <w:tc>
                <w:tcPr/>
                <w:p>
                  <w:pPr/>
                  <w:r>
                    <w:rPr/>
                    <w:t xml:space="preserve">farm</w:t>
                  </w:r>
                  <w:br/>
                  <w:r>
                    <w:rPr/>
                    <w:t xml:space="preserve">city</w:t>
                  </w:r>
                  <w:br/>
                  <w:r>
                    <w:rPr/>
                    <w:t xml:space="preserve">pollution</w:t>
                  </w:r>
                  <w:br/>
                  <w:r>
                    <w:rPr/>
                    <w:t xml:space="preserve">factory</w:t>
                  </w:r>
                  <w:br/>
                  <w:r>
                    <w:rPr/>
                    <w:t xml:space="preserve">business</w:t>
                  </w:r>
                  <w:br/>
                  <w:r>
                    <w:rPr/>
                    <w:t xml:space="preserve">urban</w:t>
                  </w:r>
                  <w:br/>
                  <w:r>
                    <w:rPr/>
                    <w:t xml:space="preserve">Industrial Revolution</w:t>
                  </w:r>
                  <w:br/>
                  <w:r>
                    <w:rPr/>
                    <w:t xml:space="preserve">transportation</w:t>
                  </w:r>
                  <w:br/>
                </w:p>
              </w:tc>
            </w:tr>
          </w:tbl>
          <w:p>
            <w:pPr/>
            <w:r>
              <w:rPr/>
              <w:t xml:space="preserve">This activity has been adapted based on a lesson created by </w:t>
            </w:r>
            <w:hyperlink r:id="rId8" w:history="1">
              <w:r>
                <w:rPr/>
                <w:t xml:space="preserve">New Visions for Public Schools</w:t>
              </w:r>
            </w:hyperlink>
            <w:r>
              <w:rPr/>
              <w:t xml:space="preserve">.</w:t>
            </w:r>
          </w:p>
          <w:p>
            <w:pPr/>
          </w:p>
        </w:tc>
      </w:tr>
    </w:tbl>
    <w:p>
      <w:r>
        <w:pict>
          <v:shape id="_x0000_s1020" type="#_x0000_t32"/>
        </w:pict>
      </w:r>
    </w:p>
    <w:p>
      <w:pPr/>
      <w:r>
        <w:rPr/>
        <w:t xml:space="preserve">Students will spend time individually viewing the two paintings and taking notes using the graphic organizer. Students may use the language scaffolds (questions, sentence frames, and word bank). They may not need to use complete sentences on the graphic organizer as it’s just a collection of thoughts. If students are struggling, the sentence frames that will be used for the discussion may help students get started.  For the question portion of the organizer, remind students of questioning stems: who, what, when, where, why, or how.</w:t>
      </w:r>
    </w:p>
    <w:p>
      <w:pPr>
        <w:pStyle w:val="Heading3"/>
      </w:pPr>
      <w:bookmarkStart w:id="6" w:name="_Toc6"/>
      <w:r>
        <w:t>Resources and Materials</w:t>
      </w:r>
      <w:bookmarkEnd w:id="6"/>
    </w:p>
    <w:p>
      <w:pPr>
        <w:numPr>
          <w:ilvl w:val="0"/>
          <w:numId w:val="9"/>
        </w:numPr>
      </w:pPr>
      <w:hyperlink r:id="rId9" w:history="1">
        <w:r>
          <w:rPr>
            <w:rStyle w:val="bold"/>
          </w:rPr>
          <w:t xml:space="preserve">Bell Work - Analyzing Two Paintings</w:t>
        </w:r>
      </w:hyperlink>
      <w:r>
        <w:rPr/>
        <w:t xml:space="preserve"> - Document</w:t>
      </w:r>
      <w:br/>
      <w:br/>
      <w:r>
        <w:rPr/>
        <w:t xml:space="preserve">This document includes the two paintings and graphic organizer for the bell work activity.</w:t>
      </w:r>
    </w:p>
    <w:p>
      <w:pPr>
        <w:numPr>
          <w:ilvl w:val="0"/>
          <w:numId w:val="9"/>
        </w:numPr>
      </w:pPr>
      <w:hyperlink r:id="rId10" w:history="1">
        <w:r>
          <w:rPr>
            <w:rStyle w:val="bold"/>
          </w:rPr>
          <w:t xml:space="preserve">Urban Life During the Industrial Revolution Slides</w:t>
        </w:r>
      </w:hyperlink>
      <w:r>
        <w:rPr/>
        <w:t xml:space="preserve"> - Document</w:t>
      </w:r>
    </w:p>
    <w:p>
      <w:pPr>
        <w:spacing w:before="0" w:after="0"/>
        <w:pBdr>
          <w:bottom w:val="single" w:sz="4"/>
        </w:pBdr>
      </w:pPr>
      <w:r>
        <w:rPr>
          <w:sz w:val="2"/>
          <w:szCs w:val="2"/>
        </w:rPr>
        <w:t xml:space="preserve"/>
      </w:r>
    </w:p>
    <w:p>
      <w:pPr>
        <w:pStyle w:val="Heading3"/>
      </w:pPr>
      <w:bookmarkStart w:id="7" w:name="_Toc7"/>
      <w:r>
        <w:t>Close Reading (35 minutes)</w:t>
      </w:r>
      <w:bookmarkEnd w:id="7"/>
    </w:p>
    <w:p>
      <w:pPr/>
      <w:r>
        <w:rPr>
          <w:rStyle w:val="bold"/>
        </w:rPr>
        <w:t xml:space="preserve">Type: </w:t>
      </w:r>
      <w:r>
        <w:rPr/>
        <w:t xml:space="preserve">Guided Practice</w:t>
      </w:r>
    </w:p>
    <w:tbl>
      <w:tblGrid>
        <w:gridCol/>
      </w:tblGrid>
      <w:tblPr>
        <w:tblW w:w="0" w:type="auto"/>
        <w:tblLayout w:type="autofit"/>
        <w:bidiVisual w:val="0"/>
        <w:tblBorders>
          <w:top w:val="single" w:sz="4" w:color="999999"/>
          <w:left w:val="single" w:sz="4" w:color="999999"/>
          <w:right w:val="single" w:sz="4" w:color="999999"/>
          <w:bottom w:val="single" w:sz="4" w:color="999999"/>
          <w:insideH w:val="single" w:sz="4" w:color="999999"/>
          <w:insideV w:val="single" w:sz="4" w:color="999999"/>
        </w:tblBorders>
      </w:tblPr>
      <w:tr>
        <w:trPr/>
        <w:tc>
          <w:tcPr/>
          <w:p>
            <w:pPr>
              <w:spacing w:before="160"/>
            </w:pPr>
            <w:r>
              <w:rPr>
                <w:rStyle w:val="bold"/>
              </w:rPr>
              <w:t xml:space="preserve">Teacher Notes</w:t>
            </w:r>
          </w:p>
          <w:p>
            <w:pPr/>
            <w:r>
              <w:rPr/>
              <w:t xml:space="preserve">Review the lesson goals so that students know what they will be expected to do by the end of the period.</w:t>
            </w:r>
          </w:p>
          <w:p>
            <w:pPr/>
          </w:p>
          <w:p>
            <w:pPr/>
            <w:r>
              <w:rPr/>
              <w:t xml:space="preserve">The teacher will pass out a printed copy of the scaffolded excerpt from, “The Condition of the Working-Class in England in 1844.” This portion of the text includes Friedrich Engels description of “great towns” like London and Manchester during the Industrial Revolution. Engels uses complex language to describe what is happening in urban areas, but the concept is fairly simple. Essentially, Engels is saying that the working-class is living in filthy and polluted cities.  Students may struggle with the complex sentences, but the reading has scaffolded questions and tasks to identify the different descriptors Engels uses to explain how industrialization affected living conditions in cities.</w:t>
            </w:r>
          </w:p>
          <w:p>
            <w:pPr/>
          </w:p>
          <w:p>
            <w:pPr/>
            <w:r>
              <w:rPr/>
              <w:t xml:space="preserve">The teacher will use this close-read as a way to model the think-aloud process and engage students in textual analysis. The scaffolded tasks include skills focusing on vocabulary, paraphrasing, author’s tone, and author’s use of transitions. As the teacher reads the text out loud for students, there will be places to pause to allow students to re-read the text and complete the tasks. One suggestion would be to leave the pictures they analyzed up on the screen as a reference (</w:t>
            </w:r>
            <w:hyperlink r:id="rId7" w:history="1">
              <w:r>
                <w:rPr/>
                <w:t xml:space="preserve">slide 3</w:t>
              </w:r>
            </w:hyperlink>
            <w:r>
              <w:rPr/>
              <w:t xml:space="preserve">).</w:t>
            </w:r>
          </w:p>
          <w:p>
            <w:pPr/>
          </w:p>
          <w:p>
            <w:pPr/>
            <w:r>
              <w:rPr/>
              <w:t xml:space="preserve">If students need to hear the text again while working on the tasks, show students how to use programs like </w:t>
            </w:r>
            <w:hyperlink r:id="rId11" w:history="1">
              <w:r>
                <w:rPr/>
                <w:t xml:space="preserve">Natural Reader</w:t>
              </w:r>
            </w:hyperlink>
            <w:r>
              <w:rPr/>
              <w:t xml:space="preserve"> where students can copy and paste the text for an audio version. Students may also need to translate some portions of the text and can use programs like Google Translate.</w:t>
            </w:r>
          </w:p>
          <w:p>
            <w:pPr/>
            <w:r>
              <w:rPr/>
              <w:t xml:space="preserve">Think-Aloud Support</w:t>
            </w:r>
          </w:p>
          <w:p>
            <w:pPr/>
            <w:r>
              <w:rPr/>
              <w:t xml:space="preserve">1. Read the source information. Stop and review the term “working-class.” Ask students what are some jobs that might be included in the working-class. Talk about the year, 1844. Note how the text is describing cities a few years before the painting of Manchester in 1852. As they read, try to imagine how Engels is describing what cities look like.</w:t>
            </w:r>
          </w:p>
          <w:p>
            <w:pPr/>
          </w:p>
          <w:p>
            <w:pPr/>
            <w:r>
              <w:rPr/>
              <w:t xml:space="preserve">2. Ask students to preview the text structure. Tell students to number the paragraphs in the indent. Ask students about the highlighted words (if printed in color) or the footnotes at the bottom. Some definitions were provided so that students did not have to struggle looking up words in the dictionary.</w:t>
            </w:r>
          </w:p>
          <w:p>
            <w:pPr/>
          </w:p>
          <w:p>
            <w:pPr/>
            <w:r>
              <w:rPr/>
              <w:t xml:space="preserve">3. Read paragraph 1. Complete the task related to the term “non-possessing class.” Ask students about the word “possess” and what it means when the prefix “non” is added. Explain that the author’s purpose is in this paragraph where Engels says he will describe what it is like for the “working-man” to live in cities by explaining “the form of dwelling, clothing, food, [and] what form of subsistence.”</w:t>
            </w:r>
          </w:p>
          <w:p>
            <w:pPr/>
          </w:p>
          <w:p>
            <w:pPr/>
            <w:r>
              <w:rPr/>
              <w:t xml:space="preserve">4. Read paragraph 2. Stop after the second sentence. Tell students to paraphrase the underlined sentence using the word “slums.” Ask students what they think of when describing slums. This is a way to help students make predictions as they read. The paraphrase should describe where slums are located in relation to the rich. Ask a couple students to read their paraphrase to clarify any misunderstandings.</w:t>
            </w:r>
          </w:p>
          <w:p>
            <w:pPr/>
          </w:p>
          <w:p>
            <w:pPr/>
            <w:r>
              <w:rPr/>
              <w:t xml:space="preserve">5. Continue reading and stop at the end of paragraph 2. This section describes what houses look like in cities. The task asks students to go back to the paragraph and circle words related to the author’s tone, or feelings about the topic. Re-phrase the task as a question by asking, “What does Engels feel about cities?” Students may circle terms like: worst, irregular, dirty, refuse, foul, or crowded. The goal is to help students see that cities were difficult places to live in because the conditions were unsafe and unhealthy.</w:t>
            </w:r>
          </w:p>
          <w:p>
            <w:pPr/>
          </w:p>
          <w:p>
            <w:pPr/>
            <w:r>
              <w:rPr/>
              <w:t xml:space="preserve">6. Read paragraph 3. Stop before the bolded phrase “But all this is nothing in comparison…” Discuss your reaction to this section highlighting how you would imagine what the cities look like. Talk about the types of buildings and the market in the streets. Share images from a collection of photographs in “</w:t>
            </w:r>
            <w:hyperlink r:id="rId12" w:history="1">
              <w:r>
                <w:rPr/>
                <w:t xml:space="preserve">Life in London’s Victorian Slums.</w:t>
              </w:r>
            </w:hyperlink>
            <w:r>
              <w:rPr/>
              <w:t xml:space="preserve">” Practice the same skills that were used during the bell work (see, think, wonder) by asking students to share their responses aloud. Another option would be to pause as an image and have students discuss what they are thinking in pairs.</w:t>
            </w:r>
          </w:p>
          <w:p>
            <w:pPr/>
          </w:p>
          <w:p>
            <w:pPr/>
            <w:r>
              <w:rPr/>
              <w:t xml:space="preserve">7. Finish reading paragraph 3. Go back to the bolded phrase and ask students to respond to the question. Talk about what Engels is doing with this transition. So far he has described how awful cities were, but this phrase tells the reader that the next section is going to describe how cities were much worse. Ask students to complete the next task by underlining words that specifically describe what houses looked like. They may identify words like: narrow, crumbling, broken, garbage, foul liquids, or stinking pools.</w:t>
            </w:r>
          </w:p>
        </w:tc>
      </w:tr>
    </w:tbl>
    <w:p>
      <w:r>
        <w:pict>
          <v:shape id="_x0000_s1029" type="#_x0000_t32"/>
        </w:pict>
      </w:r>
    </w:p>
    <w:p>
      <w:pPr/>
      <w:r>
        <w:rPr/>
        <w:t xml:space="preserve">Students will follow along with the teacher as the text is being read. When the teacher pauses to complete the tasks, students will write their answers on the printed text. Students will be asked to share their responses aloud while other students listen. Students will also be asked to have a conversation with a partner about the reading and visuals provided.</w:t>
      </w:r>
    </w:p>
    <w:p>
      <w:pPr>
        <w:pStyle w:val="Heading3"/>
      </w:pPr>
      <w:bookmarkStart w:id="8" w:name="_Toc8"/>
      <w:r>
        <w:t>Resources and Materials</w:t>
      </w:r>
      <w:bookmarkEnd w:id="8"/>
    </w:p>
    <w:p>
      <w:pPr>
        <w:numPr>
          <w:ilvl w:val="0"/>
          <w:numId w:val="9"/>
        </w:numPr>
      </w:pPr>
      <w:hyperlink r:id="rId13" w:history="1">
        <w:r>
          <w:rPr>
            <w:rStyle w:val="bold"/>
          </w:rPr>
          <w:t xml:space="preserve">Conditions of the Working-Class in English Reading</w:t>
        </w:r>
      </w:hyperlink>
      <w:r>
        <w:rPr/>
        <w:t xml:space="preserve"> - Document</w:t>
      </w:r>
      <w:br/>
      <w:br/>
      <w:r>
        <w:rPr/>
        <w:t xml:space="preserve">This document is the scaffolded text with summary graphic organizer.</w:t>
      </w:r>
    </w:p>
    <w:p>
      <w:pPr>
        <w:numPr>
          <w:ilvl w:val="0"/>
          <w:numId w:val="9"/>
        </w:numPr>
      </w:pPr>
      <w:hyperlink r:id="rId14" w:history="1">
        <w:r>
          <w:rPr>
            <w:rStyle w:val="bold"/>
          </w:rPr>
          <w:t xml:space="preserve">Conditions of the Working Class in England in 1844</w:t>
        </w:r>
      </w:hyperlink>
      <w:r>
        <w:rPr/>
        <w:t xml:space="preserve"> - Website</w:t>
      </w:r>
    </w:p>
    <w:p>
      <w:pPr>
        <w:spacing w:before="0" w:after="0"/>
        <w:pBdr>
          <w:bottom w:val="single" w:sz="4"/>
        </w:pBdr>
      </w:pPr>
      <w:r>
        <w:rPr>
          <w:sz w:val="2"/>
          <w:szCs w:val="2"/>
        </w:rPr>
        <w:t xml:space="preserve"/>
      </w:r>
    </w:p>
    <w:p>
      <w:pPr>
        <w:pStyle w:val="Heading3"/>
      </w:pPr>
      <w:bookmarkStart w:id="9" w:name="_Toc9"/>
      <w:r>
        <w:t>Co-Constructed Summary (15 minutes)</w:t>
      </w:r>
      <w:bookmarkEnd w:id="9"/>
    </w:p>
    <w:p>
      <w:pPr/>
      <w:r>
        <w:rPr>
          <w:rStyle w:val="bold"/>
        </w:rPr>
        <w:t xml:space="preserve">Type: </w:t>
      </w:r>
      <w:r>
        <w:rPr/>
        <w:t xml:space="preserve">Formative Assessment</w:t>
      </w:r>
    </w:p>
    <w:tbl>
      <w:tblGrid>
        <w:gridCol/>
      </w:tblGrid>
      <w:tblPr>
        <w:tblW w:w="0" w:type="auto"/>
        <w:tblLayout w:type="autofit"/>
        <w:bidiVisual w:val="0"/>
        <w:tblBorders>
          <w:top w:val="single" w:sz="4" w:color="999999"/>
          <w:left w:val="single" w:sz="4" w:color="999999"/>
          <w:right w:val="single" w:sz="4" w:color="999999"/>
          <w:bottom w:val="single" w:sz="4" w:color="999999"/>
          <w:insideH w:val="single" w:sz="4" w:color="999999"/>
          <w:insideV w:val="single" w:sz="4" w:color="999999"/>
        </w:tblBorders>
      </w:tblPr>
      <w:tr>
        <w:trPr/>
        <w:tc>
          <w:tcPr/>
          <w:p>
            <w:pPr>
              <w:spacing w:before="160"/>
            </w:pPr>
            <w:r>
              <w:rPr>
                <w:rStyle w:val="bold"/>
              </w:rPr>
              <w:t xml:space="preserve">Teacher Notes</w:t>
            </w:r>
          </w:p>
          <w:p>
            <w:pPr/>
            <w:r>
              <w:rPr/>
              <w:t xml:space="preserve">The teacher will describe the summary writing task to answer the following prompt: “Summarize the author’s main argument about living conditions in England during the Industrial Revolution.”  Explain that there will be two parts to the task and a graphic organizer at the end of the text.</w:t>
            </w:r>
          </w:p>
          <w:p>
            <w:pPr/>
            <w:br/>
          </w:p>
          <w:p>
            <w:pPr/>
            <w:r>
              <w:rPr/>
              <w:t xml:space="preserve">First, students will write their summary as individuals. Ask students to use some of the terms they identified during the close-reading task.</w:t>
            </w:r>
          </w:p>
          <w:p>
            <w:pPr/>
            <w:br/>
          </w:p>
          <w:p>
            <w:pPr/>
            <w:r>
              <w:rPr/>
              <w:t xml:space="preserve">Then, students will work in pairs to co-construct a summary with a partner. They will share the summaries they wrote individually and discuss what was similar and different. Each student will take notes on the graphic organizer as they listen to their partner share the summary. Students may use portions of their summary or they can start over to co-create their response. While students are working, the teacher can listen to the discussions and point students back to the text if they need help constructing an answer.</w:t>
            </w:r>
          </w:p>
          <w:p>
            <w:pPr/>
            <w:br/>
          </w:p>
          <w:p>
            <w:pPr/>
            <w:r>
              <w:rPr/>
              <w:t xml:space="preserve">Students will submit this summary so that the teacher can review and decide if any concepts need to be reviewed in the next lesson. If time permits, the teacher can ask a few pairs to share their responses aloud. Ask students to use hand gestures to respond to their peers:</w:t>
            </w:r>
          </w:p>
          <w:p>
            <w:pPr>
              <w:spacing w:after="0"/>
              <w:numPr>
                <w:ilvl w:val="0"/>
                <w:numId w:val="11"/>
              </w:numPr>
            </w:pPr>
            <w:r>
              <w:rPr/>
              <w:t xml:space="preserve">Thumbs up - this response sounds like ours</w:t>
            </w:r>
          </w:p>
          <w:p>
            <w:pPr>
              <w:spacing w:after="0"/>
              <w:numPr>
                <w:ilvl w:val="0"/>
                <w:numId w:val="11"/>
              </w:numPr>
            </w:pPr>
            <w:r>
              <w:rPr/>
              <w:t xml:space="preserve">Thumbs horizontal - this response is kind of like ours</w:t>
            </w:r>
          </w:p>
          <w:p>
            <w:pPr>
              <w:spacing w:after="0"/>
              <w:numPr>
                <w:ilvl w:val="0"/>
                <w:numId w:val="11"/>
              </w:numPr>
            </w:pPr>
            <w:r>
              <w:rPr/>
              <w:t xml:space="preserve">Thumbs down - this response is not like ours</w:t>
            </w:r>
          </w:p>
          <w:p>
            <w:pPr/>
            <w:br/>
          </w:p>
          <w:p>
            <w:pPr/>
            <w:r>
              <w:rPr/>
              <w:t xml:space="preserve">The teacher can ask questions about the summary and then follow-up with students who may have not completed the task successfully.</w:t>
            </w:r>
          </w:p>
        </w:tc>
      </w:tr>
    </w:tbl>
    <w:p>
      <w:r>
        <w:pict>
          <v:shape id="_x0000_s1038" type="#_x0000_t32"/>
        </w:pict>
      </w:r>
    </w:p>
    <w:p>
      <w:pPr/>
      <w:r>
        <w:rPr/>
        <w:t xml:space="preserve">Students will need to write their response individually using their notes and identified terms identified during the close-read. When working in pairs, students will need to practice listening skills to understand their partner’s response. When co-constructing the response, students will need to collaborate and compromise on the best response they can write together. Students will use hand gestures to reflect on their progress when listening to other pairs share their response.</w:t>
      </w:r>
    </w:p>
    <w:p>
      <w:pPr>
        <w:spacing w:before="0" w:after="0"/>
        <w:pBdr>
          <w:bottom w:val="single" w:sz="4"/>
        </w:pBdr>
      </w:pPr>
      <w:r>
        <w:rPr>
          <w:sz w:val="2"/>
          <w:szCs w:val="2"/>
        </w:rPr>
        <w:t xml:space="preserve"/>
      </w:r>
    </w:p>
    <w:p>
      <w:pPr>
        <w:spacing w:before="0" w:after="0"/>
        <w:pBdr>
          <w:bottom w:val="single" w:sz="4"/>
        </w:pBdr>
      </w:pPr>
      <w:r>
        <w:rPr>
          <w:sz w:val="2"/>
          <w:szCs w:val="2"/>
        </w:rPr>
        <w:t xml:space="preserve"/>
      </w:r>
    </w:p>
    <w:p>
      <w:pPr>
        <w:pStyle w:val="Heading2"/>
      </w:pPr>
      <w:bookmarkStart w:id="10" w:name="_Toc10"/>
      <w:r>
        <w:t>Assessment</w:t>
      </w:r>
      <w:bookmarkEnd w:id="10"/>
    </w:p>
    <w:p>
      <w:pPr/>
      <w:r>
        <w:rPr>
          <w:rStyle w:val="bold"/>
        </w:rPr>
        <w:t xml:space="preserve">Assessment Type(s):</w:t>
      </w:r>
      <w:r>
        <w:rPr/>
        <w:t xml:space="preserve"> </w:t>
      </w:r>
      <w:r>
        <w:rPr/>
        <w:t xml:space="preserve">Product, Reflection, Writing Sample</w:t>
      </w:r>
    </w:p>
    <w:p>
      <w:pPr/>
      <w:r>
        <w:rPr>
          <w:b w:val="1"/>
          <w:bCs w:val="1"/>
        </w:rPr>
        <w:t xml:space="preserve">Summary Statement(s):</w:t>
      </w:r>
      <w:r>
        <w:rPr/>
        <w:t xml:space="preserve"> Students will co-construct a summary of the reading describing the effects of living in an urban area.</w:t>
      </w:r>
    </w:p>
    <w:p>
      <w:pPr/>
      <w:r>
        <w:rPr>
          <w:b w:val="1"/>
          <w:bCs w:val="1"/>
        </w:rPr>
        <w:t xml:space="preserve">Hand Gesture Reflection:</w:t>
      </w:r>
      <w:r>
        <w:rPr/>
        <w:t xml:space="preserve"> Ask students to use hand gestures to respond after their peers share a co-constructed summary:</w:t>
      </w:r>
    </w:p>
    <w:p>
      <w:pPr>
        <w:spacing w:after="0"/>
        <w:numPr>
          <w:ilvl w:val="0"/>
          <w:numId w:val="12"/>
        </w:numPr>
      </w:pPr>
      <w:r>
        <w:rPr/>
        <w:t xml:space="preserve">Thumbs up - this response sounds like ours</w:t>
      </w:r>
    </w:p>
    <w:p>
      <w:pPr>
        <w:spacing w:after="0"/>
        <w:numPr>
          <w:ilvl w:val="0"/>
          <w:numId w:val="12"/>
        </w:numPr>
      </w:pPr>
      <w:r>
        <w:rPr/>
        <w:t xml:space="preserve">Thumbs horizontal - this response is kind of like ours</w:t>
      </w:r>
    </w:p>
    <w:p>
      <w:pPr>
        <w:spacing w:after="0"/>
        <w:numPr>
          <w:ilvl w:val="0"/>
          <w:numId w:val="12"/>
        </w:numPr>
      </w:pPr>
      <w:r>
        <w:rPr/>
        <w:t xml:space="preserve">Thumbs down - this response is not like ours</w:t>
      </w:r>
    </w:p>
    <w:p>
      <w:pPr>
        <w:spacing w:before="0" w:after="0"/>
        <w:pBdr>
          <w:bottom w:val="single" w:sz="4"/>
        </w:pBdr>
      </w:pPr>
      <w:r>
        <w:rPr>
          <w:sz w:val="2"/>
          <w:szCs w:val="2"/>
        </w:rPr>
        <w:t xml:space="preserve"/>
      </w:r>
    </w:p>
    <w:p>
      <w:pPr>
        <w:pStyle w:val="Heading2"/>
      </w:pPr>
      <w:bookmarkStart w:id="11" w:name="_Toc11"/>
      <w:r>
        <w:t>Standards</w:t>
      </w:r>
      <w:bookmarkEnd w:id="11"/>
    </w:p>
    <w:p>
      <w:pPr>
        <w:pStyle w:val="Heading3"/>
      </w:pPr>
      <w:bookmarkStart w:id="12" w:name="_Toc12"/>
      <w:r>
        <w:t>History-Social Science Content Standards for California Public Schools</w:t>
      </w:r>
      <w:bookmarkEnd w:id="12"/>
    </w:p>
    <w:p>
      <w:pPr>
        <w:spacing w:after="0"/>
        <w:numPr>
          <w:ilvl w:val="0"/>
          <w:numId w:val="9"/>
        </w:numPr>
      </w:pPr>
      <w:r>
        <w:rPr>
          <w:rStyle w:val="bold"/>
        </w:rPr>
        <w:t xml:space="preserve">10.3.3.</w:t>
      </w:r>
      <w:r>
        <w:rPr/>
        <w:t xml:space="preserve"> </w:t>
      </w:r>
      <w:r>
        <w:rPr/>
        <w:t xml:space="preserve">Describe the growth of population, rural to urban migration, and growth of cities associated with the Industrial Revolution.</w:t>
      </w:r>
    </w:p>
    <w:p>
      <w:pPr>
        <w:pStyle w:val="Heading3"/>
      </w:pPr>
      <w:bookmarkStart w:id="13" w:name="_Toc13"/>
      <w:r>
        <w:t>English Language Development Standards</w:t>
      </w:r>
      <w:bookmarkEnd w:id="13"/>
    </w:p>
    <w:p>
      <w:pPr>
        <w:spacing w:after="0"/>
        <w:numPr>
          <w:ilvl w:val="0"/>
          <w:numId w:val="9"/>
        </w:numPr>
      </w:pPr>
      <w:r>
        <w:rPr>
          <w:rStyle w:val="bold"/>
        </w:rPr>
        <w:t xml:space="preserve">I.B.6.ELD.PI.9-10.6a.Br</w:t>
      </w:r>
      <w:r>
        <w:rPr/>
        <w:t xml:space="preserve"> </w:t>
      </w:r>
      <w:r>
        <w:rPr/>
        <w:t xml:space="preserve">Explain ideas, phenomena, processes, and relationships within and across texts (e.g., compare/contrast, cause/effect, themes, evidence-based argument) based on close reading of a variety of grade-level texts, presented in various print and multimedia formats, using a variety of detailed sentences and a range of general academic and domain-specific words.</w:t>
      </w:r>
    </w:p>
    <w:p>
      <w:pPr>
        <w:spacing w:after="0"/>
        <w:numPr>
          <w:ilvl w:val="0"/>
          <w:numId w:val="9"/>
        </w:numPr>
      </w:pPr>
      <w:r>
        <w:rPr>
          <w:rStyle w:val="bold"/>
        </w:rPr>
        <w:t xml:space="preserve">I.C.10.ELD.PI.9-10.10b.Br</w:t>
      </w:r>
      <w:r>
        <w:rPr/>
        <w:t xml:space="preserve"> </w:t>
      </w:r>
      <w:r>
        <w:rPr/>
        <w:t xml:space="preserve">Write clear and coherent summaries of texts and experiences by using complete and concise sentences and key words (e.g., from notes or graphic organizers).</w:t>
      </w:r>
    </w:p>
    <w:sectPr>
      <w:headerReference w:type="default" r:id="rId15"/>
      <w:headerReference w:type="first" r:id="rId16"/>
      <w:footerReference w:type="default" r:id="rId17"/>
      <w:footerReference w:type="first" r:id="rId18"/>
      <w:titlePg/>
      <w:pgSz w:orient="portrait" w:w="12240" w:h="15840"/>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8000" w:type="dxa"/>
      <w:gridCol w:w="2000" w:type="dxa"/>
    </w:tblGrid>
    <w:tr>
      <w:trPr/>
      <w:tc>
        <w:tcPr>
          <w:tcW w:w="8000" w:type="dxa"/>
        </w:tcPr>
        <w:p>
          <w:pPr>
            <w:spacing w:before="180"/>
          </w:pPr>
          <w:r>
            <w:rPr>
              <w:color w:val="757575"/>
              <w:sz w:val="16"/>
              <w:szCs w:val="16"/>
            </w:rPr>
            <w:t xml:space="preserve">This work from </w:t>
          </w:r>
          <w:hyperlink r:id="rId1" w:history="1">
            <w:r>
              <w:rPr>
                <w:color w:val="757575"/>
                <w:sz w:val="16"/>
                <w:szCs w:val="16"/>
                <w:b w:val="1"/>
                <w:bCs w:val="1"/>
              </w:rPr>
              <w:t xml:space="preserve">California Educators Together</w:t>
            </w:r>
          </w:hyperlink>
          <w:r>
            <w:rPr>
              <w:color w:val="757575"/>
              <w:sz w:val="16"/>
              <w:szCs w:val="16"/>
            </w:rPr>
            <w:t xml:space="preserve"> is licensed under a </w:t>
          </w:r>
          <w:hyperlink r:id="rId2" w:history="1">
            <w:r>
              <w:rPr>
                <w:color w:val="757575"/>
                <w:sz w:val="16"/>
                <w:szCs w:val="16"/>
                <w:b w:val="1"/>
                <w:bCs w:val="1"/>
              </w:rPr>
              <w:t xml:space="preserve">Attribution-NonCommercial-ShareAlike 4.0 International (CC BY-NC-SA 4.0)</w:t>
            </w:r>
          </w:hyperlink>
          <w:r>
            <w:rPr>
              <w:color w:val="757575"/>
              <w:sz w:val="16"/>
              <w:szCs w:val="16"/>
            </w:rPr>
            <w:t xml:space="preserve"> License. </w:t>
          </w:r>
        </w:p>
      </w:tc>
      <w:tc>
        <w:tcPr>
          <w:tcW w:w="2000" w:type="dxa"/>
          <w:vAlign w:val="bottom"/>
        </w:tcPr>
        <w:p>
          <w:pPr>
            <w:jc w:val="right"/>
          </w:pPr>
          <w:r>
            <w:fldChar w:fldCharType="begin"/>
          </w:r>
          <w:r>
            <w:rPr/>
            <w:instrText xml:space="preserve">PAGE</w:instrText>
          </w:r>
          <w:r>
            <w:fldChar w:fldCharType="separate"/>
          </w:r>
          <w:r>
            <w:fldChar w:fldCharType="end"/>
          </w:r>
          <w:r>
            <w:rPr/>
            <w:t xml:space="preserve"> / </w:t>
          </w:r>
          <w:r>
            <w:fldChar w:fldCharType="begin"/>
          </w:r>
          <w:r>
            <w:rPr/>
            <w:instrText xml:space="preserve">NUMPAGES</w:instrText>
          </w:r>
          <w:r>
            <w:fldChar w:fldCharType="separate"/>
          </w:r>
          <w:r>
            <w:fldChar w:fldCharType="end"/>
          </w: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8000" w:type="dxa"/>
      <w:gridCol w:w="2000" w:type="dxa"/>
    </w:tblGrid>
    <w:tr>
      <w:trPr/>
      <w:tc>
        <w:tcPr>
          <w:tcW w:w="8000" w:type="dxa"/>
        </w:tcPr>
        <w:p>
          <w:pPr>
            <w:spacing w:before="180"/>
          </w:pPr>
          <w:r>
            <w:rPr>
              <w:color w:val="757575"/>
              <w:sz w:val="16"/>
              <w:szCs w:val="16"/>
            </w:rPr>
            <w:t xml:space="preserve">This work from </w:t>
          </w:r>
          <w:hyperlink r:id="rId1" w:history="1">
            <w:r>
              <w:rPr>
                <w:color w:val="757575"/>
                <w:sz w:val="16"/>
                <w:szCs w:val="16"/>
                <w:b w:val="1"/>
                <w:bCs w:val="1"/>
              </w:rPr>
              <w:t xml:space="preserve">California Educators Together</w:t>
            </w:r>
          </w:hyperlink>
          <w:r>
            <w:rPr>
              <w:color w:val="757575"/>
              <w:sz w:val="16"/>
              <w:szCs w:val="16"/>
            </w:rPr>
            <w:t xml:space="preserve"> is licensed under a </w:t>
          </w:r>
          <w:hyperlink r:id="rId2" w:history="1">
            <w:r>
              <w:rPr>
                <w:color w:val="757575"/>
                <w:sz w:val="16"/>
                <w:szCs w:val="16"/>
                <w:b w:val="1"/>
                <w:bCs w:val="1"/>
              </w:rPr>
              <w:t xml:space="preserve">Attribution-NonCommercial-ShareAlike 4.0 International (CC BY-NC-SA 4.0)</w:t>
            </w:r>
          </w:hyperlink>
          <w:r>
            <w:rPr>
              <w:color w:val="757575"/>
              <w:sz w:val="16"/>
              <w:szCs w:val="16"/>
            </w:rPr>
            <w:t xml:space="preserve"> License. </w:t>
          </w:r>
        </w:p>
      </w:tc>
      <w:tc>
        <w:tcPr>
          <w:tcW w:w="2000" w:type="dxa"/>
          <w:vAlign w:val="bottom"/>
        </w:tcPr>
        <w:p>
          <w:pPr>
            <w:jc w:val="right"/>
          </w:pPr>
          <w:r>
            <w:fldChar w:fldCharType="begin"/>
          </w:r>
          <w:r>
            <w:rPr/>
            <w:instrText xml:space="preserve">PAGE</w:instrText>
          </w:r>
          <w:r>
            <w:fldChar w:fldCharType="separate"/>
          </w:r>
          <w:r>
            <w:fldChar w:fldCharType="end"/>
          </w:r>
          <w:r>
            <w:rPr/>
            <w:t xml:space="preserve"> / </w:t>
          </w:r>
          <w:r>
            <w:fldChar w:fldCharType="begin"/>
          </w:r>
          <w:r>
            <w:rPr/>
            <w:instrText xml:space="preserve">NUMPAGES</w:instrText>
          </w:r>
          <w:r>
            <w:fldChar w:fldCharType="separate"/>
          </w:r>
          <w:r>
            <w:fldChar w:fldCharType="end"/>
          </w: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color w:val="757575"/>
        <w:b w:val="1"/>
        <w:bCs w:val="1"/>
      </w:rPr>
      <w:t xml:space="preserve">Urban Life During the Industrial Revolution (Part 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6100" w:type="dxa"/>
    </w:tblGrid>
    <w:tblPr>
      <w:tblW w:w="0" w:type="auto"/>
      <w:tblLayout w:type="autofit"/>
      <w:bidiVisual w:val="0"/>
    </w:tblPr>
    <w:tr>
      <w:trPr/>
      <w:tc>
        <w:tcPr>
          <w:tcW w:w="3500" w:type="dxa"/>
          <w:vAlign w:val="bottom"/>
        </w:tcPr>
        <w:p>
          <w:pPr/>
          <w:r>
            <w:pict>
              <v:shape type="#_x0000_t75" stroked="f" style="width:150pt; height:28.666666666667pt; margin-left:0pt; margin-top:0pt; mso-position-horizontal:left; mso-position-vertical:top; mso-position-horizontal-relative:char; mso-position-vertical-relative:line;">
                <w10:wrap type="inline"/>
                <v:imagedata r:id="rId1" o:title=""/>
              </v:shape>
            </w:pict>
          </w:r>
        </w:p>
      </w:tc>
      <w:tc>
        <w:tcPr>
          <w:tcW w:w="6100" w:type="dxa"/>
          <w:vAlign w:val="center"/>
        </w:tcPr>
        <w:p>
          <w:pPr>
            <w:jc w:val="right"/>
            <w:spacing w:after="60"/>
          </w:pPr>
          <w:r>
            <w:rPr>
              <w:color w:val="666666"/>
              <w:b w:val="1"/>
              <w:bCs w:val="1"/>
            </w:rPr>
            <w:t xml:space="preserve">Lesson Plan from </w:t>
          </w:r>
          <w:hyperlink r:id="rId2" w:history="1">
            <w:r>
              <w:rPr>
                <w:color w:val="666666"/>
                <w:b w:val="1"/>
                <w:bCs w:val="1"/>
              </w:rPr>
              <w:t xml:space="preserve">California Educators Together</w:t>
            </w:r>
          </w:hyperlink>
        </w:p>
        <w:p>
          <w:pPr>
            <w:jc w:val="right"/>
          </w:pPr>
          <w:hyperlink r:id="rId3" w:history="1">
            <w:r>
              <w:rPr>
                <w:color w:val="666666"/>
              </w:rPr>
              <w:t xml:space="preserve">https://www.caeducatorstogether.org/q/lp/RoVU03zV</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9433848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4B979C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3B85FF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B920CC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240"/>
    </w:pPr>
  </w:style>
  <w:style w:type="character" w:styleId="FootnoteReference">
    <w:name w:val="Footnote Reference"/>
    <w:semiHidden/>
    <w:unhideWhenUsed/>
    <w:rPr>
      <w:vertAlign w:val="superscript"/>
    </w:rPr>
  </w:style>
  <w:style w:type="paragraph" w:styleId="Heading1">
    <w:link w:val="Heading1Char"/>
    <w:name w:val="heading 1"/>
    <w:basedOn w:val="Normal"/>
    <w:pPr>
      <w:spacing w:before="0" w:after="240"/>
    </w:pPr>
    <w:rPr>
      <w:color w:val="000"/>
      <w:sz w:val="40"/>
      <w:szCs w:val="40"/>
      <w:b w:val="1"/>
      <w:bCs w:val="1"/>
    </w:rPr>
  </w:style>
  <w:style w:type="paragraph" w:styleId="Heading2">
    <w:link w:val="Heading2Char"/>
    <w:name w:val="heading 2"/>
    <w:basedOn w:val="Normal"/>
    <w:pPr>
      <w:spacing w:before="240" w:after="240"/>
    </w:pPr>
    <w:rPr>
      <w:color w:val="000"/>
      <w:sz w:val="32"/>
      <w:szCs w:val="32"/>
      <w:b w:val="1"/>
      <w:bCs w:val="1"/>
    </w:rPr>
  </w:style>
  <w:style w:type="paragraph" w:styleId="Heading3">
    <w:link w:val="Heading3Char"/>
    <w:name w:val="heading 3"/>
    <w:basedOn w:val="Normal"/>
    <w:pPr>
      <w:spacing w:before="240" w:after="240"/>
    </w:pPr>
    <w:rPr>
      <w:sz w:val="24"/>
      <w:szCs w:val="24"/>
      <w:b w:val="1"/>
      <w:bCs w:val="1"/>
    </w:rPr>
  </w:style>
  <w:style w:type="paragraph" w:styleId="Heading4">
    <w:link w:val="Heading4Char"/>
    <w:name w:val="heading 4"/>
    <w:basedOn w:val="Normal"/>
    <w:pPr>
      <w:spacing w:before="240" w:after="240"/>
    </w:pPr>
    <w:rPr>
      <w:sz w:val="24"/>
      <w:szCs w:val="24"/>
    </w:rPr>
  </w:style>
  <w:style w:type="character">
    <w:name w:val="bold"/>
    <w:rPr>
      <w:b w:val="1"/>
      <w:bCs w:val="1"/>
    </w:rPr>
  </w:style>
  <w:style w:type="character">
    <w:name w:val="italic"/>
    <w:rPr>
      <w:i w:val="1"/>
      <w:iCs w:val="1"/>
    </w:rPr>
  </w:style>
  <w:style w:type="character">
    <w:name w:val="subtle"/>
    <w:rPr>
      <w:color w:val="75757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ocs.google.com/presentation/d/1hgUdKFY894IhvtkoGWTqxQgBwZGlpOoMVrGsqa-cp1Y/copy" TargetMode="External"/><Relationship Id="rId8" Type="http://schemas.openxmlformats.org/officeDocument/2006/relationships/hyperlink" Target="https://curriculum.newvisions.org/social-studies/resources/resource/103-effects-of-industrialization-urbanization/" TargetMode="External"/><Relationship Id="rId9" Type="http://schemas.openxmlformats.org/officeDocument/2006/relationships/hyperlink" Target="https://www.caeducatorstogether.org/resources/122026/bell-work-analyzing-two-paintings" TargetMode="External"/><Relationship Id="rId10" Type="http://schemas.openxmlformats.org/officeDocument/2006/relationships/hyperlink" Target="https://www.caeducatorstogether.org/resources/122469/urban-life-during-the-industrial-revolution-slides" TargetMode="External"/><Relationship Id="rId11" Type="http://schemas.openxmlformats.org/officeDocument/2006/relationships/hyperlink" Target="https://www.naturalreaders.com/" TargetMode="External"/><Relationship Id="rId12" Type="http://schemas.openxmlformats.org/officeDocument/2006/relationships/hyperlink" Target="https://allthatsinteresting.com/victorian-slums#11" TargetMode="External"/><Relationship Id="rId13" Type="http://schemas.openxmlformats.org/officeDocument/2006/relationships/hyperlink" Target="https://www.caeducatorstogether.org/resources/122027/conditions-of-the-working-class-in-english-reading" TargetMode="External"/><Relationship Id="rId14" Type="http://schemas.openxmlformats.org/officeDocument/2006/relationships/hyperlink" Target="https://www.marxists.org/archive/marx/works/1845/condition-working-class/"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www.caeducatorstogether.org" TargetMode="External"/><Relationship Id="rId2" Type="http://schemas.openxmlformats.org/officeDocument/2006/relationships/hyperlink" Target="https://creativecommons.org/licenses/by-nc-sa/4.0/?ref=ccsearch&amp;atype=ric"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aeducatorstogether.org" TargetMode="External"/><Relationship Id="rId2" Type="http://schemas.openxmlformats.org/officeDocument/2006/relationships/hyperlink" Target="https://creativecommons.org/licenses/by-nc-sa/4.0/?ref=ccsearch&amp;atype=ri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header2_image1.png"/><Relationship Id="rId2" Type="http://schemas.openxmlformats.org/officeDocument/2006/relationships/hyperlink" Target="https://www.caeducatorstogether.org?utm_source=export" TargetMode="External"/><Relationship Id="rId3" Type="http://schemas.openxmlformats.org/officeDocument/2006/relationships/hyperlink" Target="https://www.caeducatorstogether.org/q/lp/RoVU03z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Lewis</dc:creator>
  <dc:title>Urban Life During the Industrial Revolution (Part 1)</dc:title>
  <dc:description>This lesson was designed for a 10th grade World History class in Los Angeles County with 7 bridging EL students. In this first of a two-part lesson students will analyze primary sources (visuals and text) to describe how life changed for people living in urban areas during the Industrial Revolution. Students will engage in paired discussions, use graphic organizers, and text annotations strategies. The teacher will model interpretive skills through a think-aloud during a close-reading of a primary source. The lesson includes visuals for students to analyze and see the changes happening during the Industrial Revolution, which are aligned with concepts from the text. Students will co-construct a summary of the reading to describe living conditions in urban cities.</dc:description>
  <dc:subject/>
  <cp:keywords/>
  <cp:category/>
  <cp:lastModifiedBy/>
  <dcterms:created xsi:type="dcterms:W3CDTF">2023-09-22T00:57:29+00:00</dcterms:created>
  <dcterms:modified xsi:type="dcterms:W3CDTF">2024-02-29T02:51:02+00:00</dcterms:modified>
</cp:coreProperties>
</file>

<file path=docProps/custom.xml><?xml version="1.0" encoding="utf-8"?>
<Properties xmlns="http://schemas.openxmlformats.org/officeDocument/2006/custom-properties" xmlns:vt="http://schemas.openxmlformats.org/officeDocument/2006/docPropsVTypes"/>
</file>